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 w:cs="Arial" w:eastAsia="Arial"/>
          <w:b/>
          <w:i w:val="0"/>
          <w:color w:val="2B6CB0"/>
          <w:spacing w:val="40"/>
          <w:sz w:val="16"/>
        </w:rPr>
        <w:t>VORSCHAU · VEREINSGESETZ 2002</w:t>
      </w:r>
    </w:p>
    <w:p>
      <w:pPr>
        <w:pBdr>
          <w:bottom w:val="single" w:sz="12" w:space="10" w:color="1A365D"/>
        </w:pBdr>
        <w:spacing w:after="160"/>
      </w:pPr>
      <w:r>
        <w:rPr>
          <w:rFonts w:ascii="Arial" w:hAnsi="Arial" w:cs="Arial" w:eastAsia="Arial"/>
          <w:b/>
          <w:i w:val="0"/>
          <w:color w:val="1A365D"/>
          <w:spacing w:val="8"/>
          <w:sz w:val="38"/>
        </w:rPr>
        <w:t>VEREINSSTATUTEN — MUSTER-VORLAGE</w:t>
      </w:r>
    </w:p>
    <w:p>
      <w:pPr>
        <w:spacing w:before="180" w:after="320"/>
      </w:pPr>
      <w:r>
        <w:rPr>
          <w:rFonts w:ascii="Arial" w:hAnsi="Arial" w:cs="Arial" w:eastAsia="Arial"/>
          <w:b w:val="0"/>
          <w:i w:val="0"/>
          <w:color w:val="5A6B80"/>
          <w:sz w:val="21"/>
        </w:rPr>
        <w:t>Diese Ansicht zeigt Aufbau und Themen der vollständigen Statutenvorlage. Kursiv gesetzte Zeilen sind Kurzbeschreibungen der jeweiligen Regelung — der ausformulierte, rechtssichere Wortlaut ist Teil der vollständigen Vorlage, die Fördermitglieder des Institut ANWA erhalten.</w:t>
      </w:r>
    </w:p>
    <w:p>
      <w:pPr>
        <w:spacing w:before="80" w:after="2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Die Satzung ist das Herzstück einer Organisation. Was nicht darin steht, darf sie später nicht tun. Diese Übersicht zeigt, welche siebzehn Punkte hineingehören und was jeder von ihnen regelt.</w:t>
      </w:r>
    </w:p>
    <w:p>
      <w:pPr>
        <w:pBdr>
          <w:bottom w:val="single" w:sz="6" w:space="6" w:color="D9E1EC"/>
        </w:pBdr>
        <w:keepNext w:val="1"/>
        <w:spacing w:before="8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PRÄAMBEL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Platz für eine individuelle Einleitung: Selbstverständnis, Entstehungsgeschichte oder Leitidee des Vereins.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 · NAME, SITZ UND TÄTIGKEITSBEREICH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Legt Vereinsname, Sitz und den räumlichen Wirkungsbereich fest — inklusive Regelung zu internationaler Tätigkeit und der Errichtung von Zweigvereinen.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2 · ZWECK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Definiert den ideellen, gemeinnützigen Vereinszweck als Grundlage für die steuerliche Gemeinnützigkeit nach den §§ 34–47 BAO.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3 · MITTEL, WERTE, AKTIVITÄTEN UND HANDLUNGSWEISEN ZUR ERREICHUNG DES VEREINSZWECKES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Beschreibt, mit welchen ideellen und materiellen Mitteln der Vereinszweck erreicht wird.</w:t>
      </w:r>
    </w:p>
    <w:p>
      <w:pPr>
        <w:spacing w:before="100" w:after="6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Ideelle Mittel (18 Punkte, Auswahl der Themen):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Kooperation mit Personen und Organisationen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Forschungs- und Bildungsprojekte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Internationale Vernetzung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Bildungs-, Studien- und Forschungsreisen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Wissensvermittlung in den Vereinsthemen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Nationale und internationale Forschungsprojekte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Versammlungen zur Koordinierung von Vereinsinteressen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Veranstaltungen zur Mitgliederwerbung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Teilnahme an Messen und Veranstaltungen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Schaffung der nötigen Rahmenbedingungen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Mitwirkung bei öffentlichen Anlässen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Website, Publikationen und Kommunikationsmittel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Aufbau einer Wissensdatenbank und Bibliothek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Öffentlichkeitsarbeit zu gesellschaftlichen Themen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Vorträge, Seminare, Workshops, Webinare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Zusammenarbeit mit Fachleuten und Lehrenden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Ausstellung von Zertifikaten und Nachweisen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Qualitätsstandards und Auditierung</w:t>
      </w:r>
    </w:p>
    <w:p>
      <w:pPr>
        <w:spacing w:before="100" w:after="6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Materielle und finanzielle Mittel (Auswahl der Themen):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Klassische Einnahmequellen (u. a. Mitgliedsbeiträge, Spenden, Veranstaltungserlöse, Förderungen)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Erträge aus Vermögen, Beteiligungen und Verwertungen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Zusammenarbeit und Mittelweitergabe mit anderen Organisationen (§ 40/40a BAO)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4 · ARTEN DER MITGLIEDSCHAFT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Unterscheidet ordentliche, außerordentliche (Förder- und Ehren-), Schnupper- und Gruppenmitgliedschaft samt jeweiligen Rechten.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5 · ERWERB DER MITGLIEDSCHAFT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Regelt das Aufnahmeverfahren, die Zuständigkeit für die Aufnahmeentscheidung und Sonderfälle bei juristischen Personen als Mitglied.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6 · BEENDIGUNG DER MITGLIEDSCHAFT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Regelt Austritt, Ausschluss, Beitragsverzug und die Aberkennung der Ehrenmitgliedschaft samt den jeweiligen Fristen.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7 · RECHTE UND PFLICHTEN ALLER MITGLIEDER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Fasst Mitwirkungs-, Informations- und Stimmrechte sowie die Grundpflichten aller Mitglieder zusammen.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8 · VEREINSORGANE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Benennt die vier Organe des Vereins: Generalversammlung, Präsidium, Rechnungsprüfer und Schiedsgericht.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9 · GENERALVERSAMMLUNG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Regelt Turnus, Einberufung, Fristen, Beschlussfähigkeit und Mehrheitserfordernisse der Generalversammlung.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10 · AUFGABEN DER GENERALVERSAMMLUNG</w:t>
      </w:r>
    </w:p>
    <w:p>
      <w:pPr>
        <w:spacing w:before="0" w:after="6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Listet die der Generalversammlung vorbehaltenen Kernentscheidungen auf: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Beschluss über den Voranschlag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Genehmigung von Rechenschaftsbericht und Rechnungsabschluss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Wahl und Abberufung von Präsidium und Rechnungsprüfern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Genehmigung bestimmter Rechtsgeschäfte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Entlastung des Präsidiums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Statutenänderung und freiwillige Auflösung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Nachträgliche Erhebung von Beschlüssen in den Statutenrang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Aufwandsentschädigungen für Mitglieder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Sonstige Tagesordnungspunkte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11 · PRÄSIDIUM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Regelt Zusammensetzung, Funktionsperiode, Kooptierung, Einberufung und Beschlussfassung des Präsidiums — inklusive Vorsorge für den Fall der Handlungsunfähigkeit.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12 · AUFGABEN DES PRÄSIDIUMS</w:t>
      </w:r>
    </w:p>
    <w:p>
      <w:pPr>
        <w:spacing w:before="0" w:after="6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Beschreibt die laufende Vereinsführung und listet den Wirkungsbereich des Präsidiums auf: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Für den geregelten Ablauf des Betriebs sorgen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Vermögensverwaltung und Rechnungswesen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Information der Mitglieder über die Vereinstätigkeit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Verleihung und Aberkennung der Ehrenmitgliedschaft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Festsetzung von Mitgliedsbeiträgen und Gebühren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Information über die Vereinsgebarung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Vorbereitung und Einberufung der Generalversammlung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Aufnahme und Ausschluss von Mitgliedern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Aufnahme und Kündigung von Angestellten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13 · BESONDERE OBLIEGENHEITEN EINZELNER PRÄSIDIUMSMITGLIEDER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Beschreibt die Vertretungsbefugnis und Zeichnungsberechtigung des Präsidiums bzw. der Präsidentschaft, inklusive Sonderregelung bei Gefahr im Verzug.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14 · RECHNUNGSPRÜFER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Regelt Bestellung, Funktionsdauer, Unabhängigkeit und Prüfpflichten der Rechnungsprüfer.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15 · SCHIEDSGERICHT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Regelt das vereinsinterne Schlichtungsverfahren bei Streitigkeiten: Zusammensetzung, Bestellungsverfahren und Entscheidungsfindung.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16 · BEGÜNSTIGUNGSWÜRDIGKEIT GEMÄSS § 34 FF BAO, SPENDENBEGÜNSTIGUNG</w:t>
      </w:r>
    </w:p>
    <w:p>
      <w:pPr>
        <w:spacing w:before="0" w:after="6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Sichert die steuerliche Gemeinnützigkeit ab — Themen der 15 Einzelpunkte: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Ausschließliche und unmittelbare Zweckverfolgung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Kein Gewinnstreben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Grenze für nicht begünstigte Nebenzwecke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Zweckgebundene Mittelverwendung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Wettbewerbsbeschränkung wirtschaftlicher Betriebe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Keine Zuwendungen an Mitglieder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Verbot unverhältnismäßiger Vergütungen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Auflagen für begünstigungsschädliche Betriebe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Kein Gewinnanteil für Mitglieder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Vermögensrückgabe bei Austritt oder Auflösung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Verbot überhöhter Verwaltungsvergütungen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Zweckbindung gesammelter Spenden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Leistungen an andere begünstigte Körperschaften (§ 40a BAO)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Tätigkeit als Erfüllungsgehilfe (§ 40 BAO)</w:t>
      </w:r>
    </w:p>
    <w:p>
      <w:pPr>
        <w:tabs>
          <w:tab w:pos="510" w:val="left"/>
        </w:tabs>
        <w:spacing w:after="100"/>
        <w:ind w:left="510" w:hanging="510"/>
      </w:pPr>
      <w:r>
        <w:rPr>
          <w:rFonts w:ascii="Arial" w:hAnsi="Arial" w:cs="Arial" w:eastAsia="Arial"/>
          <w:b w:val="0"/>
          <w:i w:val="0"/>
          <w:color w:val="2B6CB0"/>
          <w:sz w:val="21"/>
        </w:rPr>
        <w:t>—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 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Vorgaben für Kooperationen mit anderen Organisationen</w:t>
      </w:r>
    </w:p>
    <w:p>
      <w:pPr>
        <w:pBdr>
          <w:bottom w:val="single" w:sz="6" w:space="6" w:color="D9E1EC"/>
        </w:pBdr>
        <w:keepNext w:val="1"/>
        <w:spacing w:before="30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§ 17 · AUFLÖSUNG DES VEREINS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0"/>
        </w:rPr>
        <w:t>Regelt Mehrheitserfordernis, Liquidator, die Übertragung des Restvermögens an eine begünstigte Organisation und die Meldepflichten bei Auflösung.</w:t>
      </w:r>
    </w:p>
    <w:tbl>
      <w:tblPr>
        <w:tblW w:type="dxa" w:w="9184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left w:val="single" w:sz="18" w:space="0" w:color="1A365D"/>
              <w:top w:val="nil" w:sz="0" w:space="0" w:color="auto"/>
              <w:bottom w:val="nil" w:sz="0" w:space="0" w:color="auto"/>
              <w:right w:val="nil" w:sz="0" w:space="0" w:color="auto"/>
            </w:tcBorders>
            <w:shd w:val="clear" w:fill="F4F7FB"/>
            <w:tcMar>
              <w:top w:w="200" w:type="dxa"/>
              <w:bottom w:w="200" w:type="dxa"/>
              <w:left w:w="260" w:type="dxa"/>
              <w:right w:w="260" w:type="dxa"/>
            </w:tcMar>
          </w:tcPr>
          <w:p>
            <w:pPr>
              <w:spacing w:after="120"/>
            </w:pPr>
            <w:r>
              <w:rPr>
                <w:rFonts w:ascii="Arial" w:hAnsi="Arial" w:cs="Arial" w:eastAsia="Arial"/>
                <w:b/>
                <w:i w:val="0"/>
                <w:color w:val="1A365D"/>
                <w:spacing w:val="26"/>
                <w:sz w:val="16"/>
              </w:rPr>
              <w:t>WAS DIESE VORSCHAU IST — UND WAS NICHT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>Diese Vorschau ersetzt keine Rechtsberatung. Die vollständige Vorlage unseres Vereins enthält den ausformulierten Text zu allen 17 Punkten, abgestimmt auf die Anforderungen der Vereinsbehörde.</w:t>
            </w:r>
          </w:p>
          <w:p>
            <w:pPr>
              <w:spacing w:after="80"/>
              <w:ind w:left="255" w:hanging="255"/>
            </w:pPr>
            <w:r>
              <w:rPr>
                <w:rFonts w:ascii="Arial" w:hAnsi="Arial" w:cs="Arial" w:eastAsia="Arial"/>
                <w:b w:val="0"/>
                <w:i w:val="0"/>
                <w:color w:val="2B6CB0"/>
                <w:sz w:val="19"/>
              </w:rPr>
              <w:t xml:space="preserve">—  </w:t>
            </w:r>
            <w:r>
              <w:rPr>
                <w:rFonts w:ascii="Arial" w:hAnsi="Arial" w:cs="Arial" w:eastAsia="Arial"/>
                <w:b w:val="0"/>
                <w:i w:val="0"/>
                <w:color w:val="2D3748"/>
                <w:sz w:val="19"/>
              </w:rPr>
              <w:t>Den vollständigen Text erhalten Fördermitglieder des Institut ANWA. Der Beitrag beträgt 150 Euro im Jahr: anwa.institute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361" w:bottom="1134" w:left="1361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8" w:color="D9E1EC"/>
      </w:pBdr>
      <w:tabs>
        <w:tab w:pos="9184" w:val="right"/>
      </w:tabs>
      <w:spacing w:before="0"/>
    </w:pPr>
    <w:r>
      <w:drawing>
        <wp:inline xmlns:a="http://schemas.openxmlformats.org/drawingml/2006/main" xmlns:pic="http://schemas.openxmlformats.org/drawingml/2006/picture">
          <wp:extent cx="200522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stitut_ANW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522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i w:val="0"/>
        <w:color w:val="2D3748"/>
        <w:sz w:val="16"/>
      </w:rPr>
      <w:t xml:space="preserve">   </w:t>
    </w:r>
    <w:r>
      <w:rPr>
        <w:rFonts w:ascii="Arial" w:hAnsi="Arial" w:cs="Arial" w:eastAsia="Arial"/>
        <w:b w:val="0"/>
        <w:i w:val="0"/>
        <w:color w:val="5A6B80"/>
        <w:spacing w:val="8"/>
        <w:sz w:val="15"/>
      </w:rPr>
      <w:t>Eine Vorlage des Institut ANWA · anwa.institute</w:t>
    </w:r>
    <w:r>
      <w:rPr>
        <w:rFonts w:ascii="Arial" w:hAnsi="Arial" w:cs="Arial" w:eastAsia="Arial"/>
        <w:b w:val="0"/>
        <w:i w:val="0"/>
        <w:color w:val="2D3748"/>
        <w:sz w:val="15"/>
      </w:rPr>
      <w:tab/>
    </w:r>
    <w:r>
      <w:rPr>
        <w:rFonts w:ascii="Arial" w:hAnsi="Arial" w:cs="Arial" w:eastAsia="Arial"/>
        <w:b w:val="0"/>
        <w:i w:val="0"/>
        <w:color w:val="5A6B80"/>
        <w:sz w:val="15"/>
      </w:rPr>
      <w:t xml:space="preserve">Seite </w: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begin"/>
    </w:r>
    <w:r>
      <w:rPr>
        <w:rFonts w:ascii="Arial" w:hAnsi="Arial" w:cs="Arial" w:eastAsia="Arial"/>
        <w:b w:val="0"/>
        <w:i w:val="0"/>
        <w:color w:val="5A6B80"/>
        <w:sz w:val="15"/>
      </w:rPr>
      <w:instrText xml:space="preserve"> PAGE </w:instrTex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end"/>
    </w:r>
    <w:r>
      <w:rPr>
        <w:rFonts w:ascii="Arial" w:hAnsi="Arial" w:cs="Arial" w:eastAsia="Arial"/>
        <w:b w:val="0"/>
        <w:i w:val="0"/>
        <w:color w:val="5A6B80"/>
        <w:sz w:val="15"/>
      </w:rPr>
      <w:t xml:space="preserve"> von </w: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begin"/>
    </w:r>
    <w:r>
      <w:rPr>
        <w:rFonts w:ascii="Arial" w:hAnsi="Arial" w:cs="Arial" w:eastAsia="Arial"/>
        <w:b w:val="0"/>
        <w:i w:val="0"/>
        <w:color w:val="5A6B80"/>
        <w:sz w:val="15"/>
      </w:rPr>
      <w:instrText xml:space="preserve"> NUMPAGES </w:instrTex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93" w:lineRule="auto"/>
    </w:pPr>
    <w:rPr>
      <w:rFonts w:ascii="Arial" w:hAnsi="Arial" w:eastAsia="Arial" w:cs="Arial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Vereinsstatuten — Vorschau der Muster-Vorlage</dc:title>
  <dc:subject>Aufbau und Themen einer vollständigen Satzung</dc:subject>
  <dc:creator>Institut ANWA</dc:creator>
  <cp:keywords/>
  <dc:description>Eine Vorlage des Institut ANWA, wissenschaftlicher Verein zur Förderung der Volksbildung. anwa.institute</dc:description>
  <cp:lastModifiedBy/>
  <cp:revision>1</cp:revision>
  <dcterms:created xsi:type="dcterms:W3CDTF">2013-12-23T23:15:00Z</dcterms:created>
  <dcterms:modified xsi:type="dcterms:W3CDTF">2013-12-23T23:15:00Z</dcterms:modified>
  <cp:category>Vorlage</cp:category>
</cp:coreProperties>
</file>